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19.12.2022 N 534-ФЗ)</w:t>
      </w:r>
    </w:p>
    <w:p>
      <w:pPr>
        <w:spacing w:after="120"/>
        <w:ind w:firstLine="709"/>
      </w:pPr>
      <w:r>
        <w:rPr>
          <w:sz w:val="24"/>
        </w:rPr>
        <w:t xml:space="preserve">1. Нарушение капитаном судна или судовладельцем требования о направлении капитану морского порта сообщения о затонувшем имуществе,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случае, если такое удаление является обязательным, или сроков разработки документации по удалению затонувшего имущества, указанных в распоряжении капитана морского порта об условиях удаления затонувшего имущества, либо нарушение собственником затонувшего имущества, по обращению которого согласована документация по удалению затонувшего имущества, сроков начала удаления затонувшего имущества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трехсот тысяч рублей; на должностных лиц - от пятидесяти тысяч до ста тысяч рублей; на лиц, осуществляющих предпринимательскую деятельность без образования юридического лица, - от ста тысяч до трехсот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собственником затонувшего имущества, по обращению которого согласована документация по удалению затонувшего имущества, условий удаления затонувшего имущества, предусмотренных указанной документацией,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тысяч до одного миллиона рублей; на лиц, осуществляющих предпринимательскую деятельность без образования юридического лица, - от трехсот тысяч до одного миллиона рублей; на юридических лиц - от трех миллионов до пяти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11.6.1</dc:title>
  <dc:creator>АРБИТРАЖ! · arbi.ru</dc:creator>
  <cp:lastModifiedBy>АРБИТРАЖ!</cp:lastModifiedBy>
  <dcterms:created xsi:type="dcterms:W3CDTF">2026-10-23T00:32:17.584Z</dcterms:created>
</cp:coreProperties>
</file>