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19.12.2022 N 534-ФЗ)</w:t>
      </w:r>
    </w:p>
    <w:p>
      <w:pPr>
        <w:spacing w:after="120"/>
        <w:ind w:firstLine="709"/>
      </w:pPr>
      <w:r>
        <w:rPr>
          <w:sz w:val="24"/>
        </w:rPr>
        <w:t xml:space="preserve">Захоронение (преднамеренное уничтожение) либо умышленное затопление морского судна или судна внутреннего плавания в пределах внутренних морских вод, территориального моря Российской Федерации, на континентальном шельфе Российской Федерации, морских путях, внутренних водных путях Российской Федерации, в исключительной экономической зоне Российской Федерации, в том числе в акватории Северного морского пути,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миллионов до пяти миллионов рублей; на лиц, осуществляющих предпринимательскую деятельность без образования юридического лица, - от трех миллионов до пяти миллионов рублей; на юридических лиц - от пятнадцати миллионов до двадцати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11.6.2</dc:title>
  <dc:creator>АРБИТРАЖ! · arbi.ru</dc:creator>
  <cp:lastModifiedBy>АРБИТРАЖ!</cp:lastModifiedBy>
  <dcterms:created xsi:type="dcterms:W3CDTF">2026-10-22T23:58:41.262Z</dcterms:created>
</cp:coreProperties>
</file>