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03.02.2014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споры в суде общей юрисдикции. Ситуации, связанные со ст. 11.15.1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11.15.1 КоАП РФ за нарушение требований в области транспортной безопасности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ИП, должностное лицо) оспаривает привлечение к ответственности за неисполнение требований по обеспечению или соблюдению транспортной безопасности</w:t>
      </w:r>
    </w:p>
    <w:p>
      <w:pPr>
        <w:spacing w:after="120"/>
        <w:ind w:firstLine="709"/>
      </w:pPr>
      <w:r>
        <w:rPr>
          <w:sz w:val="24"/>
        </w:rPr>
        <w:t xml:space="preserve">1. Неисполнение требований по обеспечению транспортной безопасности либо неисполнение требований по соблюдению транспортной безопасности, совершенные по неосторожности,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11.15.1 см. Постановление КС РФ от 14.04.2020 N 17-П.</w:t>
      </w:r>
    </w:p>
    <w:p>
      <w:pPr>
        <w:spacing w:after="120"/>
        <w:ind w:firstLine="709"/>
      </w:pPr>
      <w:r>
        <w:rPr>
          <w:sz w:val="24"/>
        </w:rPr>
        <w:t xml:space="preserve">3. Действие (бездействие), предусмотренное частью 1 настоящей статьи, совершенное умышленно,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суток; на должностных лиц - от пятидесяти тысяч до ста тысяч рублей либо административный арест на срок до десяти суток; на индивидуальных предпринимателей -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суток; на юридических лиц -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11.15.1</dc:title>
  <dc:creator>АРБИТРАЖ! · arbi.ru</dc:creator>
  <cp:lastModifiedBy>АРБИТРАЖ!</cp:lastModifiedBy>
  <dcterms:created xsi:type="dcterms:W3CDTF">2026-10-22T13:32:20.931Z</dcterms:created>
</cp:coreProperties>
</file>