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11.15.2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11. Административные правонарушения на транспорте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03.02.2014 N 15-ФЗ)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11.15.2 КоАП РФ</w:t>
      </w:r>
    </w:p>
    <w:p>
      <w:pPr>
        <w:spacing w:after="120"/>
        <w:ind w:firstLine="709"/>
      </w:pPr>
      <w:r>
        <w:rPr>
          <w:sz w:val="24"/>
        </w:rPr>
        <w:t xml:space="preserve">- Организация (ИП) оспаривает привлечение к ответственности по ст. 11.15.2 КоАП РФ за нарушение установленных порядков и правил в области транспортной безопасности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ч. 1 ст. 11.15.2 см. Постановление КС РФ от 21.07.2021 N 39-П.</w:t>
      </w:r>
    </w:p>
    <w:p>
      <w:pPr>
        <w:spacing w:after="120"/>
        <w:ind w:firstLine="709"/>
      </w:pPr>
      <w:r>
        <w:rPr>
          <w:sz w:val="24"/>
        </w:rPr>
        <w:t xml:space="preserve">1. Нарушение правил аккредитации юридических лиц для проведения оценки уязвимости объектов транспортной инфраструктуры и транспортных средств, порядка проведения оценки уязвимости объектов транспортной инфраструктуры и транспортных средств и порядка разработки планов обеспечения транспортной безопасности объектов транспортной инфраструктуры и транспортных средств, порядка аккредитации юридических лиц в качестве подразделений транспортной безопасности и требований к подразделениям транспортной безопасности, порядка подготовки сил обеспечения транспортной безопасности и порядка аттестации сил обеспечения транспортной безопасности, правил проведения досмотра, дополнительного досмотра и повторного досмотра в целях обеспечения транспортной безопасности, совершенное по неосторожности,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трех тысяч до пяти тысяч рублей; на должностных лиц - от двадцати тысяч до тридцати тысяч рублей; на индивидуальных предпринимателей - от тридцати тысяч до пятидесяти тысяч рублей; на юридических лиц - от пятидесяти тысяч до ста тысяч рублей.</w:t>
      </w:r>
    </w:p>
    <w:p>
      <w:pPr>
        <w:spacing w:after="120"/>
        <w:ind w:firstLine="709"/>
      </w:pPr>
      <w:r>
        <w:rPr>
          <w:sz w:val="24"/>
        </w:rPr>
        <w:t xml:space="preserve">2. Повторное совершение административного правонарушения, предусмотренного частью 1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пяти тысяч до десяти тысяч рублей; на должностных лиц - от тридцати тысяч до пятидесяти тысяч рублей; на индивидуальных предпринимателей - от пятидесяти тысяч до семидесяти тысяч рублей либо административное приостановление деятельности на срок до девяноста суток; на юридических лиц - от ста тысяч до двухсот тысяч рублей либо административное приостановление деятельности на срок до девяноста суток.</w:t>
      </w:r>
    </w:p>
    <w:p>
      <w:pPr>
        <w:spacing w:after="120"/>
        <w:ind w:firstLine="709"/>
      </w:pPr>
      <w:r>
        <w:rPr>
          <w:sz w:val="24"/>
        </w:rPr>
        <w:t xml:space="preserve">3. Действие (бездействие), предусмотренное частью 1 настоящей статьи, совершенное умышленно,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двадцати тысяч до тридцати тысяч рублей; на должностных лиц - от пятидесяти тысяч до ста тысяч рублей; на индивидуальных предпринимателей - от ста тысяч до ста пятидесяти тысяч рублей либо административное приостановление деятельности на срок до девяноста суток; на юридических лиц - от двухсот тысяч до пятисот тысяч рублей либо административное приостановление деятельности на срок до девяноста суток.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11.15.2</dc:title>
  <dc:creator>АРБИТРАЖ! · arbi.ru</dc:creator>
  <cp:lastModifiedBy>АРБИТРАЖ!</cp:lastModifiedBy>
  <dcterms:created xsi:type="dcterms:W3CDTF">2026-10-22T23:03:45.538Z</dcterms:created>
</cp:coreProperties>
</file>