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12.6.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 применения ремней безопасности или мотошлемов</w:t>
      </w:r>
    </w:p>
    <w:p>
      <w:pPr>
        <w:spacing w:after="120"/>
        <w:ind w:firstLine="709"/>
      </w:pPr>
      <w:r>
        <w:rPr>
          <w:sz w:val="24"/>
        </w:rPr>
        <w:t xml:space="preserve">Управление транспортным средством водителем, не пристегнутым ремнем безопасности, перевозка пассажиров, не пристегнутых ремнями безопасности, если конструкцией транспортного средства предусмотрены ремни безопасности, а равно управление мотоциклом или мопедом либо перевозка на мотоцикле пассажиров без мотошлемов или в незастегнутых мотошлемах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08.06.2015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23.07.2013 N 196-ФЗ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12.6</dc:title>
  <dc:creator>АРБИТРАЖ! · arbi.ru</dc:creator>
  <cp:lastModifiedBy>АРБИТРАЖ!</cp:lastModifiedBy>
  <dcterms:created xsi:type="dcterms:W3CDTF">2026-10-22T13:57:48.708Z</dcterms:created>
</cp:coreProperties>
</file>