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12.20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12.20.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нарушение правил пользования внешними световыми приборами, звуковыми сигналами, аварийной сигнализацией или знаком аварийной остановки</w:t>
      </w:r>
    </w:p>
    <w:p>
      <w:pPr>
        <w:spacing w:after="120"/>
        <w:ind w:firstLine="709"/>
      </w:pPr>
      <w:r>
        <w:rPr>
          <w:sz w:val="24"/>
        </w:rPr>
        <w:t xml:space="preserve">Нарушение правил пользования внешними световыми приборами, звуковыми сигналами, аварийной сигнализацией или знаком аварийной остановки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12.20</dc:title>
  <dc:creator>АРБИТРАЖ! · arbi.ru</dc:creator>
  <cp:lastModifiedBy>АРБИТРАЖ!</cp:lastModifiedBy>
  <dcterms:created xsi:type="dcterms:W3CDTF">2026-10-22T23:59:32.900Z</dcterms:created>
</cp:coreProperties>
</file>