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12.21.2</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12. Административные правонарушения в области дорожного движения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24.07.2007 N 210-ФЗ)</w:t>
      </w:r>
    </w:p>
    <w:p>
      <w:pPr>
        <w:spacing w:after="120"/>
        <w:ind w:firstLine="709"/>
      </w:pPr>
      <w:r>
        <w:rPr>
          <w:sz w:val="24"/>
        </w:rPr>
        <w:t xml:space="preserve">Перспективы и риски споров в суде общей юрисдикции. Ситуации, связанные со ст. 12.21.2. КоАП РФ</w:t>
      </w:r>
    </w:p>
    <w:p>
      <w:pPr>
        <w:spacing w:after="120"/>
        <w:ind w:firstLine="709"/>
      </w:pPr>
      <w:r>
        <w:rPr>
          <w:sz w:val="24"/>
        </w:rPr>
        <w:t xml:space="preserve">- Гражданин (организация, ИП, должностное лицо) обжалует привлечение к ответственности за нарушение правил перевозки опасных грузов</w:t>
      </w:r>
    </w:p>
    <w:p>
      <w:pPr>
        <w:spacing w:after="120"/>
        <w:ind w:firstLine="709"/>
      </w:pPr>
      <w:r>
        <w:rPr>
          <w:sz w:val="24"/>
        </w:rPr>
        <w:t xml:space="preserve">КонсультантПлюс: примечание.</w:t>
      </w:r>
    </w:p>
    <w:p>
      <w:pPr>
        <w:spacing w:after="120"/>
        <w:ind w:firstLine="709"/>
      </w:pPr>
      <w:r>
        <w:rPr>
          <w:sz w:val="24"/>
        </w:rPr>
        <w:t xml:space="preserve">При пресечении нарушений, предусмотренных ч. 1 ст. 12.21.2, применяется задержание ТС.</w:t>
      </w:r>
    </w:p>
    <w:p>
      <w:pPr>
        <w:spacing w:after="120"/>
        <w:ind w:firstLine="709"/>
      </w:pPr>
      <w:r>
        <w:rPr>
          <w:sz w:val="24"/>
        </w:rPr>
        <w:t xml:space="preserve">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отсутствуют элементы системы информации об опасности либо оборудование или средства, применяемые для ликвидации последствий происшествия при перевозке опасных грузов, либо несоблюдение условий перевозки опасных грузов, предусмотренных указанными правилами, -</w:t>
      </w:r>
    </w:p>
    <w:p>
      <w:pPr>
        <w:spacing w:after="120"/>
        <w:ind w:firstLine="709"/>
      </w:pPr>
      <w:r>
        <w:rPr>
          <w:sz w:val="24"/>
        </w:rPr>
        <w:t xml:space="preserve">(в ред. Федеральных законов от 08.11.2007 N 257-ФЗ , от 13.07.2015 N 248-ФЗ )</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водителя в размере от двух тысяч до двух тысяч пятисот рублей или лишение права управления транспортными средствами на срок от четырех до шести месяцев; на должностных лиц, ответственных за перевозку, - от пятнадцати тысяч до двадцати тысяч рублей; на юридических лиц - от четырехсот тысяч до пятисот тысяч рублей.</w:t>
      </w:r>
    </w:p>
    <w:p>
      <w:pPr>
        <w:spacing w:after="120"/>
        <w:ind w:firstLine="709"/>
      </w:pPr>
      <w:r>
        <w:rPr>
          <w:sz w:val="24"/>
        </w:rPr>
        <w:t xml:space="preserve">2. Нарушение правил перевозки опасных грузов, за исключением случаев, предусмотренных частью 1 настоящей статьи, -</w:t>
      </w:r>
    </w:p>
    <w:p>
      <w:pPr>
        <w:spacing w:after="120"/>
        <w:ind w:firstLine="709"/>
      </w:pPr>
      <w:r>
        <w:rPr>
          <w:sz w:val="24"/>
        </w:rPr>
        <w:t xml:space="preserve">влечет наложение административного штрафа на водителя в размере от одной тысячи до одной тысячи пятисот рублей; на должностных лиц, ответственных за перевозку, - от пяти тысяч до десяти тысяч рублей; на юридических лиц - от ста пятидесяти тысяч до двухсот пятидесяти тысяч рублей.</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12.21.2</dc:title>
  <dc:creator>АРБИТРАЖ! · arbi.ru</dc:creator>
  <cp:lastModifiedBy>АРБИТРАЖ!</cp:lastModifiedBy>
  <dcterms:created xsi:type="dcterms:W3CDTF">2026-10-22T21:57:59.947Z</dcterms:created>
</cp:coreProperties>
</file>