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12.33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(организация, ИП, должностное лицо) обжалует привлечение к ответственности за повреждение дорог, железнодорожных переездов или других дорожных сооружений</w:t>
      </w:r>
    </w:p>
    <w:p>
      <w:pPr>
        <w:spacing w:after="120"/>
        <w:ind w:firstLine="709"/>
      </w:pPr>
      <w:r>
        <w:rPr>
          <w:sz w:val="24"/>
        </w:rPr>
        <w:t xml:space="preserve">Повреждение дорог, железнодорожных переездов или других дорожных сооружений либо технических средств организации дорожного движения, которое создает угрозу безопасности дорожного движения, а равно умышленное создание помех в дорожном движении, в том числе путем загрязнения дорожного покрытия,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двадцати пяти тысяч рублей; на юридических лиц -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12.33</dc:title>
  <dc:creator>АРБИТРАЖ! · arbi.ru</dc:creator>
  <cp:lastModifiedBy>АРБИТРАЖ!</cp:lastModifiedBy>
  <dcterms:created xsi:type="dcterms:W3CDTF">2026-10-22T16:27:43.911Z</dcterms:created>
</cp:coreProperties>
</file>