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13.2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13. Административные правонарушения в области связи и информации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Подключение без специального разрешения к сети электрической связи оконечного оборудования -</w:t>
      </w:r>
    </w:p>
    <w:p>
      <w:pPr>
        <w:spacing w:after="120"/>
        <w:ind w:firstLine="709"/>
      </w:pPr>
      <w:r>
        <w:rPr>
          <w:sz w:val="24"/>
        </w:rPr>
        <w:t xml:space="preserve">влечет предупреждение или наложение административного штрафа на граждан в размере от трехсот до пятисот рублей с конфискацией оконечного оборудования или без таковой; на должностных лиц - от пятисот до одной тысячи рублей с конфискацией оконечного оборудования или без таковой; на юридических лиц - от пяти тысяч до десяти тысяч рублей с конфискацией оконечного оборудования или без таковой.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22.06.2007 N 116-ФЗ)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13.2</dc:title>
  <dc:creator>АРБИТРАЖ! · arbi.ru</dc:creator>
  <cp:lastModifiedBy>АРБИТРАЖ!</cp:lastModifiedBy>
  <dcterms:created xsi:type="dcterms:W3CDTF">2026-10-22T20:06:53.411Z</dcterms:created>
</cp:coreProperties>
</file>