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02.07.2013 N 162-ФЗ)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13.11.1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оспаривает привлечение к ответственности за распространение информации о свободных рабочих местах или вакантных должностях, содержащей ограничения дискриминационного характера</w:t>
      </w:r>
    </w:p>
    <w:p>
      <w:pPr>
        <w:spacing w:after="120"/>
        <w:ind w:firstLine="709"/>
      </w:pPr>
      <w:r>
        <w:rPr>
          <w:sz w:val="24"/>
        </w:rPr>
        <w:t xml:space="preserve">Распространение информации о свободных рабочих местах или вакантных должностях, содержащей ограничения дискриминационного характера,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- от пятисот до одной тысячи рублей; на должностных лиц - от трех тысяч до пяти тысяч рублей; на юридических лиц - от десяти тысяч до пятнадцати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13.11.1</dc:title>
  <dc:creator>АРБИТРАЖ! · arbi.ru</dc:creator>
  <cp:lastModifiedBy>АРБИТРАЖ!</cp:lastModifiedBy>
  <dcterms:created xsi:type="dcterms:W3CDTF">2026-10-22T20:09:09.870Z</dcterms:created>
</cp:coreProperties>
</file>