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13.15.1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30.12.2015 N 464-ФЗ)</w:t>
      </w:r>
    </w:p>
    <w:p>
      <w:pPr>
        <w:spacing w:after="120"/>
        <w:ind w:firstLine="709"/>
      </w:pPr>
      <w:r>
        <w:rPr>
          <w:sz w:val="24"/>
        </w:rPr>
        <w:t xml:space="preserve">1. Непредоставление либо несвоевременное предоставление редакцией средства массовой информации, вещателем или издателем информации о получении денежных средств, предоставление которой предусмотрено законодательством Российской Федерации о средствах массовой информации,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однократной до двукратной суммы денежных средств, которые получены редакцией средства массовой информации,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шестидесяти тысяч до восьмидесяти тысяч рублей; на юридических лиц - от трехкратной до четырехкратной суммы денежных средств, которые получены редакцией средства массовой информации,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13.15.1</dc:title>
  <dc:creator>АРБИТРАЖ! · arbi.ru</dc:creator>
  <cp:lastModifiedBy>АРБИТРАЖ!</cp:lastModifiedBy>
  <dcterms:created xsi:type="dcterms:W3CDTF">2026-10-22T09:48:23.369Z</dcterms:created>
</cp:coreProperties>
</file>