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13.19.3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13. Административные правонарушения в области связи и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29.07.2018 N 236-ФЗ)</w:t>
      </w:r>
    </w:p>
    <w:p>
      <w:pPr>
        <w:spacing w:after="120"/>
        <w:ind w:firstLine="709"/>
      </w:pPr>
      <w:r>
        <w:rPr>
          <w:sz w:val="24"/>
        </w:rPr>
        <w:t xml:space="preserve">Перспективы и риски арбитражных споров. Ситуации, связанные со ст. 13.19.3. КоАП РФ</w:t>
      </w:r>
    </w:p>
    <w:p>
      <w:pPr>
        <w:spacing w:after="120"/>
        <w:ind w:firstLine="709"/>
      </w:pPr>
      <w:r>
        <w:rPr>
          <w:sz w:val="24"/>
        </w:rPr>
        <w:t xml:space="preserve">- Организация-застройщик оспаривает привлечение к ответственности по ст. 13.19.3 КоАП РФ за нарушение порядка размещения информации в единой информационной системе жилищного строительства</w:t>
      </w:r>
    </w:p>
    <w:p>
      <w:pPr>
        <w:spacing w:after="120"/>
        <w:ind w:firstLine="709"/>
      </w:pPr>
      <w:r>
        <w:rPr>
          <w:sz w:val="24"/>
        </w:rP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кодексом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pPr>
        <w:spacing w:after="120"/>
        <w:ind w:firstLine="709"/>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pPr>
        <w:spacing w:after="120"/>
        <w:ind w:firstLine="709"/>
      </w:pPr>
      <w:r>
        <w:rPr>
          <w:sz w:val="24"/>
        </w:rPr>
        <w:t xml:space="preserve">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w:t>
      </w:r>
    </w:p>
    <w:p>
      <w:pPr>
        <w:spacing w:after="120"/>
        <w:ind w:firstLine="709"/>
      </w:pPr>
      <w:r>
        <w:rPr>
          <w:sz w:val="24"/>
        </w:rPr>
        <w:t xml:space="preserve">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13.19.3</dc:title>
  <dc:creator>АРБИТРАЖ! · arbi.ru</dc:creator>
  <cp:lastModifiedBy>АРБИТРАЖ!</cp:lastModifiedBy>
  <dcterms:created xsi:type="dcterms:W3CDTF">2026-10-22T20:03:33.526Z</dcterms:created>
</cp:coreProperties>
</file>