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28.06.2009 N 124-ФЗ)</w:t>
      </w:r>
    </w:p>
    <w:p>
      <w:pPr>
        <w:spacing w:after="120"/>
        <w:ind w:firstLine="709"/>
      </w:pPr>
      <w:r>
        <w:rPr>
          <w:sz w:val="24"/>
        </w:rPr>
        <w:t xml:space="preserve">Нарушение оператором почтовой связи правил оказания услуг почтовой связи в отношении сроков и (или) порядка доставки (вручения) адресату судебных извещений, в том числе несвоевременное сообщение суду о доставке (вручении) судебного извещения или невозможности его доставки (вручения) адресату,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пятисот до одной тысячи рублей; на юридических лиц - от пяти тысяч до 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13.26</dc:title>
  <dc:creator>АРБИТРАЖ! · arbi.ru</dc:creator>
  <cp:lastModifiedBy>АРБИТРАЖ!</cp:lastModifiedBy>
  <dcterms:created xsi:type="dcterms:W3CDTF">2026-10-22T22:45:12.179Z</dcterms:created>
</cp:coreProperties>
</file>