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31.05.2010 N 108-ФЗ)</w:t>
      </w:r>
    </w:p>
    <w:p>
      <w:pPr>
        <w:spacing w:after="120"/>
        <w:ind w:firstLine="709"/>
      </w:pPr>
      <w:r>
        <w:rPr>
          <w:sz w:val="24"/>
        </w:rPr>
        <w:t xml:space="preserve">1. Нарушение порядка предоставления информации о деятельности государственных органов и органов местного самоуправления, содержащей сведения, относящиеся к информации ограниченного доступа,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случаях, если федеральным законом такая плата установлена,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13.28</dc:title>
  <dc:creator>АРБИТРАЖ! · arbi.ru</dc:creator>
  <cp:lastModifiedBy>АРБИТРАЖ!</cp:lastModifiedBy>
  <dcterms:created xsi:type="dcterms:W3CDTF">2026-10-22T14:06:44.203Z</dcterms:created>
</cp:coreProperties>
</file>