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28.12.2016 N 471-ФЗ)</w:t>
      </w:r>
    </w:p>
    <w:p>
      <w:pPr>
        <w:spacing w:after="120"/>
        <w:ind w:firstLine="709"/>
      </w:pPr>
      <w:r>
        <w:rPr>
          <w:sz w:val="24"/>
        </w:rPr>
        <w:t xml:space="preserve">1. Нарушение аккредитованным удостоверяющим центром порядка выдачи квалифицированного сертификата ключа проверки электронной подписи (далее - квалифицированный сертификат)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Выдача аккредитованным удостоверяющим центром квалифицированного сертификата, содержащего заведомо недостоверную информацию о его владельце,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двухсот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Необеспечение аккредитованным удостоверяющим центром безвозмездного доступа с использованием информационно-телекоммуникационных сетей, в том числе сети "Интернет", к реестру квалифицированных сертификатов такого аккредитованного удостоверяющего центра в любое время в течение срока его деятельности, если иное не установлено федеральными законами или принимаемыми в соответствии с ними нормативными правовыми актами,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Совершение административного правонарушения, предусмотренного частью 3 настоящей статьи, повлекшее непредоставление государственной услуги либо предоставление государственной услуги с нарушением установленных сроков,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четырехсот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аккредитованным удостоверяющим центром порядка формирования и ведения реестров квалифицированных сертификатов,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аннулировании, либо порядка предоставления информации из такого реестра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6.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информации, содержащейся в реестре квалифицированных сертификатов, от неправомерного доступа, уничтожения, модификации, блокирования или иных неправомерных действий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десяти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Нарушение аккредитованным удостоверяющим центром требований к содержанию квалифицированного сертификата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пятидесяти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8. Нарушение руководителем аккредитованного удостоверяющего центра обязанности передать на хранение в федеральный орган исполнительной власти, уполномоченный в сфере использования электронной подписи, в установленном порядке информацию, подлежащую хранению в аккредитованном удостоверяющем центре, в случае принятия решения о прекращении деятельности такого аккредитованного удостоверяющего центра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9. Совершение административных правонарушений, предусмотренных частями 1 - 7 настоящей статьи, юридическим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двукратного размера ранее наложенного административного штрафа.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13.33</dc:title>
  <dc:creator>АРБИТРАЖ! · arbi.ru</dc:creator>
  <cp:lastModifiedBy>АРБИТРАЖ!</cp:lastModifiedBy>
  <dcterms:created xsi:type="dcterms:W3CDTF">2026-10-22T11:37:12.886Z</dcterms:created>
</cp:coreProperties>
</file>