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30.12.2020 N 516-ФЗ)</w:t>
      </w:r>
    </w:p>
    <w:p>
      <w:pPr>
        <w:spacing w:after="120"/>
        <w:ind w:firstLine="709"/>
      </w:pPr>
      <w:r>
        <w:rPr>
          <w:sz w:val="24"/>
        </w:rPr>
        <w:t xml:space="preserve">1. Нарушение органом либо организацией, имеющими право создания (замены) и выдачи ключа простой электронной подписи (далее - оператор выдачи ключа), при использовании единой системы идентификации и аутентификации конфиденциальности ключа простой электронной подписи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семи тысяч до десяти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Невыполнение оператором выдачи ключа требования об установлении личности заявителя при выдаче ключа простой электронной подписи, а также выдача ключа простой электронной подписи без получения от заявителя заявления о выдаче такого ключа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семи тысяч до десяти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Внесение оператором выдачи ключа в единую систему идентификации и аутентификации данных, не соответствующих заявлению гражданина,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Взимание оператором выдачи ключа платы за создание (замену) и (или) выдачу ключа простой электронной подписи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тридцати тысяч рублей; на юридических лиц - от ста пятидесяти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Создание (замена) и (или) выдача ключа не уполномоченным на то лицом оператора выдачи ключа либо истребование оператором выдачи ключа при создании (замене) и (или) выдаче ключа простой электронной подписи сведений о заявителе, не являющихся обязательными для создания (замены) и (или) выдачи ключа простой электронной подписи,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пяти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6. Нарушение должностным лицом федерального органа исполнительной власти, государственного внебюджетного фонда, органа исполнительной власти субъекта Российской Федерации, органа местного самоуправления, государственного или муниципального учреждения, многофункционального центра предоставления государственных и муниципальных услуг или иной организации (далее - участники информационного взаимодействия) в случаях, предусмотренных федеральными законами, актами Президента Российской Федерации и актами Правительства Российской Федерации, правил обеспечения доступа пользователей к информации,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Выполнение должностным лицом участников информационного взаимодействия действий, направленных на нарушение процесса функционирования единой системы идентификации и аутентификации или информационных систем, подключенных к единой системе идентификации и аутентификации,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8. Совершение административного правонарушения, предусмотренного частью 6 или 7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13.33.1</dc:title>
  <dc:creator>АРБИТРАЖ! · arbi.ru</dc:creator>
  <cp:lastModifiedBy>АРБИТРАЖ!</cp:lastModifiedBy>
  <dcterms:created xsi:type="dcterms:W3CDTF">2026-10-22T22:56:08.344Z</dcterms:created>
</cp:coreProperties>
</file>