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13.36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01.05.2017 N 87-ФЗ)</w:t>
      </w:r>
    </w:p>
    <w:p>
      <w:pPr>
        <w:spacing w:after="120"/>
        <w:ind w:firstLine="709"/>
      </w:pPr>
      <w:r>
        <w:rPr>
          <w:sz w:val="24"/>
        </w:rPr>
        <w:t xml:space="preserve">1 . Нарушение владельцем аудиовизуального сервиса установленного порядка распространения среди детей информации, причиняющей вред их здоровью и (или) развитию,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рублей; на юридических лиц - от трехсот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Повторное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десяти тысяч рублей; на должностных лиц - от пятидесяти тысяч до ста тысяч рублей; на юридических лиц - от пятисот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(часть 2 введена Федеральным законом от 02.12.2019 N 405-ФЗ)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13.36</dc:title>
  <dc:creator>АРБИТРАЖ! · arbi.ru</dc:creator>
  <cp:lastModifiedBy>АРБИТРАЖ!</cp:lastModifiedBy>
  <dcterms:created xsi:type="dcterms:W3CDTF">2026-10-22T19:31:04.012Z</dcterms:created>
</cp:coreProperties>
</file>