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20.12.2017 N 396-ФЗ)</w:t>
      </w:r>
    </w:p>
    <w:p>
      <w:pPr>
        <w:spacing w:after="120"/>
        <w:ind w:firstLine="709"/>
      </w:pPr>
      <w:r>
        <w:rPr>
          <w:sz w:val="24"/>
        </w:rPr>
        <w:t xml:space="preserve">1 . Неисполнение организатором сервиса обмена мгновенными сообщениями установленных законодательством Российской Федерации об информации, информационных технологиях и о защите информации обязанностей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семидесяти тысяч рублей; на юридических лиц - от одного миллиона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02.12.2019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13.39</dc:title>
  <dc:creator>АРБИТРАЖ! · arbi.ru</dc:creator>
  <cp:lastModifiedBy>АРБИТРАЖ!</cp:lastModifiedBy>
  <dcterms:created xsi:type="dcterms:W3CDTF">2026-10-22T20:07:57.644Z</dcterms:created>
</cp:coreProperties>
</file>