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13.51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31.07.2023 N 402-ФЗ)</w:t>
      </w:r>
    </w:p>
    <w:p>
      <w:pPr>
        <w:spacing w:after="120"/>
        <w:ind w:firstLine="709"/>
      </w:pPr>
      <w:r>
        <w:rPr>
          <w:sz w:val="24"/>
        </w:rPr>
        <w:t xml:space="preserve">1. Нарушение должностным лицом уполномоченного органа исполнительной власти субъекта Российской Федерации порядка и сроков представления информации, предусмотренной пунктами 2 и 3 части 3 статьи 91.1 Федерального закона от 21 ноября 2011 года N 323-ФЗ "Об основах охраны здоровья граждан в Российской Федерации" (в том числе в части полноты, достоверности, актуальности внесенных сведений), в единую государственную информационную систему в сфере здравоохранения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пятнадцати тысяч до двадцати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тысяч до тридцати тысяч рублей или дисквалификацию на срок до одного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13.51</dc:title>
  <dc:creator>АРБИТРАЖ! · arbi.ru</dc:creator>
  <cp:lastModifiedBy>АРБИТРАЖ!</cp:lastModifiedBy>
  <dcterms:created xsi:type="dcterms:W3CDTF">2026-10-22T11:37:09.497Z</dcterms:created>
</cp:coreProperties>
</file>