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14.17.3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04.11.2019 N 357-ФЗ)</w:t>
      </w:r>
    </w:p>
    <w:p>
      <w:pPr>
        <w:spacing w:after="120"/>
        <w:ind w:firstLine="709"/>
      </w:pPr>
      <w:r>
        <w:rPr>
          <w:sz w:val="24"/>
        </w:rPr>
        <w:t xml:space="preserve">Производство и (или) оборот порошкообразной спиртосодержащей продукции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таковой; на должностных лиц - от двадцати тысяч до пятидесяти тысяч рублей с конфискацией предмета административного правонарушения либо без таковой; на юридических лиц - от двухсот тысяч до пятисот тысяч рублей с конфискацией предмета административного правонарушения либо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14.17.3</dc:title>
  <dc:creator>АРБИТРАЖ! · arbi.ru</dc:creator>
  <cp:lastModifiedBy>АРБИТРАЖ!</cp:lastModifiedBy>
  <dcterms:created xsi:type="dcterms:W3CDTF">2026-10-22T22:15:42.762Z</dcterms:created>
</cp:coreProperties>
</file>