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14.33 КоАП РФ.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недобросовестную конкуренцию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организации обжалует привлечение к ответственности за недобросовестную конкуренцию</w:t>
      </w:r>
    </w:p>
    <w:p>
      <w:pPr>
        <w:spacing w:after="120"/>
        <w:ind w:firstLine="709"/>
      </w:pPr>
      <w:r>
        <w:rPr>
          <w:sz w:val="24"/>
        </w:rPr>
        <w:t xml:space="preserve">1. Недобросовестная конкуренция , если эти действия не содержат уголовно наказуемого деяния , за исключением случаев, предусмотренных статьей 14.3 настоящего Кодекса и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двенадцати тысяч до двадцати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Недобросовестная конкуренция,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лица, средств индивидуализации продукции, работ, услуг,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двадцати тысяч рублей либо дисквалификацию на срок до трех лет; на юридических лиц - от одной сотой до пятнадцати сотых размера суммы выручки правонарушителя от реализации товара (работы, услуги), на рынке которого совершено правонарушение, но не менее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14.33</dc:title>
  <dc:creator>АРБИТРАЖ! · arbi.ru</dc:creator>
  <cp:lastModifiedBy>АРБИТРАЖ!</cp:lastModifiedBy>
  <dcterms:created xsi:type="dcterms:W3CDTF">2026-10-22T23:28:38.307Z</dcterms:created>
</cp:coreProperties>
</file>