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28.12.2009 N 380-ФЗ)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14.37.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организацию (ИП) к ответственности за нарушения при установке (эксплуатации) рекламной конструкции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лицо) обжалует привлечение к ответственности за нарушение требований к установке и (или) эксплуатации рекламной конструкции</w:t>
      </w:r>
    </w:p>
    <w:p>
      <w:pPr>
        <w:spacing w:after="120"/>
        <w:ind w:firstLine="709"/>
      </w:pPr>
      <w:r>
        <w:rPr>
          <w:sz w:val="24"/>
        </w:rPr>
        <w:t xml:space="preserve">Установка и (или) эксплуатация рекламной конструкции без предусмотренного законодательством разрешения на ее установку и эксплуатацию, а равно установка и (или) эксплуатация рекламной конструкции с нарушением требований технического регламента, за исключением случаев, предусмотренных частью 2 статьи 11.21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одной тысячи до одной тысячи пятисот рублей; на должностных лиц - от трех тысяч до пяти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14.37</dc:title>
  <dc:creator>АРБИТРАЖ! · arbi.ru</dc:creator>
  <cp:lastModifiedBy>АРБИТРАЖ!</cp:lastModifiedBy>
  <dcterms:created xsi:type="dcterms:W3CDTF">2026-10-22T10:41:56.186Z</dcterms:created>
</cp:coreProperties>
</file>