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29.12.2017 N 446-ФЗ)</w:t>
      </w:r>
    </w:p>
    <w:p>
      <w:pPr>
        <w:spacing w:after="120"/>
        <w:ind w:firstLine="709"/>
      </w:pPr>
      <w:r>
        <w:rPr>
          <w:sz w:val="24"/>
        </w:rPr>
        <w:t xml:space="preserve">1.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мазуту, за исключением случая,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1 процента суммы выручки от реализации топлива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топлива в предшествующем календарном году, но не менее пятисот тысяч рублей с конфискацией предметов административного правонарушения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административного правонарушения, предусмотренного частью 2 настоящей статьи,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3 процентов суммы выручки от реализации топлива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топлива в предшествующем календарном году,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Под характеристиками автомобильного и авиационного бензина, дизельного и судового топлива, топлива для реактивных двигателей и мазута в части 2 настоящей статьи следует понимать показатели (требования), определенные пунктами 4.1 - 4.12 статьи 4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 и приложениями 2 - 7 к нему.</w:t>
      </w:r>
    </w:p>
    <w:p>
      <w:pPr>
        <w:spacing w:after="120"/>
        <w:ind w:firstLine="709"/>
      </w:pPr>
      <w:r>
        <w:rPr>
          <w:sz w:val="24"/>
        </w:rPr>
        <w:t xml:space="preserve">3. Для исчисления размера административного штрафа, предусмотренного санкцией части 2 или 3 настоящей статьи, используется сумма выручки правонарушителя, полученная от реализации топлива, являющегося объектом технического регулирования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мазуту", на конкретном объекте, на котором установлен факт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14.43.1</dc:title>
  <dc:creator>АРБИТРАЖ! · arbi.ru</dc:creator>
  <cp:lastModifiedBy>АРБИТРАЖ!</cp:lastModifiedBy>
  <dcterms:created xsi:type="dcterms:W3CDTF">2026-10-22T20:09:11.877Z</dcterms:created>
</cp:coreProperties>
</file>