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14.45.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порядка реализации продукции, подлежащей обязательному подтверждению соответствия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реализации продукции, подлежащей обязательному подтверждению соответствия</w:t>
      </w:r>
    </w:p>
    <w:p>
      <w:pPr>
        <w:spacing w:after="120"/>
        <w:ind w:firstLine="709"/>
      </w:pPr>
      <w:r>
        <w:rPr>
          <w:sz w:val="24"/>
        </w:rPr>
        <w:t xml:space="preserve">Реализация продукции, подлежащей обязательному подтверждению соответствия, без указания в сопроводительной документации сведений о сертификате соответствия или декларации о соответствии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ста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14.45</dc:title>
  <dc:creator>АРБИТРАЖ! · arbi.ru</dc:creator>
  <cp:lastModifiedBy>АРБИТРАЖ!</cp:lastModifiedBy>
  <dcterms:created xsi:type="dcterms:W3CDTF">2026-10-22T20:11:05.073Z</dcterms:created>
</cp:coreProperties>
</file>