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14.46.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маркировки продукции, подлежащей обязательному подтверждению соответствия</w:t>
      </w:r>
    </w:p>
    <w:p>
      <w:pPr>
        <w:spacing w:after="120"/>
        <w:ind w:firstLine="709"/>
      </w:pPr>
      <w:r>
        <w:rPr>
          <w:sz w:val="24"/>
        </w:rPr>
        <w:t xml:space="preserve">1. Маркировка продукции знаком обращения продукции на рынке, соответствие которой требованиям технических регламентов не подтверждено в порядке, предусмотренном законодательством о техническом регулировании, либо маркировка знаком соответствия продукции, соответствие которой требованиям технических регламентов не подтверждено в порядке, предусмотренном законодательством о техническом регулировании,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тридцати тысяч до пятидесяти тысяч рублей; на юридических лиц - от семисот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14.46</dc:title>
  <dc:creator>АРБИТРАЖ! · arbi.ru</dc:creator>
  <cp:lastModifiedBy>АРБИТРАЖ!</cp:lastModifiedBy>
  <dcterms:created xsi:type="dcterms:W3CDTF">2026-10-22T21:34:03.078Z</dcterms:created>
</cp:coreProperties>
</file>