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521-ФЗ)</w:t>
      </w:r>
    </w:p>
    <w:p>
      <w:pPr>
        <w:spacing w:after="120"/>
        <w:ind w:firstLine="709"/>
      </w:pPr>
      <w:r>
        <w:rPr>
          <w:sz w:val="24"/>
        </w:rPr>
        <w:t xml:space="preserve">Нарушение обязательных требований к маркировке пищевой продукции, полученной с применением генно-инженерно-модифицированных организмов или содержащей такие организмы, в части сведений о наличии в пищевой продукции компонентов, полученных из генно-инженерно-модифицированных организмов или с использованием таких организмов,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таковой; на юридических лиц - от ста тысяч до трехсот тысяч рублей с конфискацией предметов административного правонарушения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14.46.1</dc:title>
  <dc:creator>АРБИТРАЖ! · arbi.ru</dc:creator>
  <cp:lastModifiedBy>АРБИТРАЖ!</cp:lastModifiedBy>
  <dcterms:created xsi:type="dcterms:W3CDTF">2026-10-22T19:04:36.028Z</dcterms:created>
</cp:coreProperties>
</file>