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14.47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18.07.2011 N 237-ФЗ)</w:t>
      </w:r>
    </w:p>
    <w:p>
      <w:pPr>
        <w:spacing w:after="120"/>
        <w:ind w:firstLine="709"/>
      </w:pPr>
      <w:r>
        <w:rPr>
          <w:sz w:val="24"/>
        </w:rPr>
        <w:t xml:space="preserve">1. Нарушение правил выполнения работ по сертификации либо выдача сертификата соответствия с нарушением требований законодательства о техническом регулировании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сорока тысяч рублей или дисквалификацию на срок до одного года; на юридических лиц - от четырехсот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2. Действия, предусмотренные частью 1 настоящей статьи, повлекшие за собой выпуск в обращение продукции, не соответствующей требованиям технических регламентов или подлежащим применению до вступления в силу соответствующих технических регламентов обязательным требованиям,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лет; на юридических лиц - от шестисот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3. Необоснованная выдача органом по сертификации или отказ в выдаче сертификата соответствия либо необоснованное приостановление или прекращение действия сертификата соответствия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тридцати тысяч рублей или дисквалификацию на срок от шести месяцев до одного года; на юридических лиц - от пятидесяти тысяч до ста тысяч рублей.</w:t>
      </w:r>
    </w:p>
    <w:p>
      <w:pPr>
        <w:spacing w:after="120"/>
        <w:ind w:firstLine="709"/>
      </w:pPr>
      <w:r>
        <w:rPr>
          <w:sz w:val="24"/>
        </w:rPr>
        <w:t xml:space="preserve">4. Нарушение органом по сертификации установленной формы сертификата соответствия или установленных законодательством Таможенного союза правил заполнения формы сертификата соответствия, не повлекшее за собой необоснованной выдачи органом по сертификации сертификата соответствия,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 тысяч до десяти тысяч рублей; на юридических лиц - от десяти тысяч до двадцати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23.06.2014 N 160-ФЗ)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14.47</dc:title>
  <dc:creator>АРБИТРАЖ! · arbi.ru</dc:creator>
  <cp:lastModifiedBy>АРБИТРАЖ!</cp:lastModifiedBy>
  <dcterms:created xsi:type="dcterms:W3CDTF">2026-10-23T00:32:28.852Z</dcterms:created>
</cp:coreProperties>
</file>