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14.59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Административные правонарушения в области предпринимательской деятельности и деятельности саморегулируемых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23.06.2014 N 160-ФЗ)</w:t>
      </w:r>
    </w:p>
    <w:p>
      <w:pPr>
        <w:spacing w:after="120"/>
        <w:ind w:firstLine="709"/>
      </w:pPr>
      <w:r>
        <w:rPr>
          <w:sz w:val="24"/>
        </w:rPr>
        <w:t xml:space="preserve">Нарушение экспертной организацией, включенной в реестр экспертных организаций в соответствии с законодательством Российской Федерации об аккредитации в национальной системе аккредитации, методики определения размеров платы за проведение экспертизы представленных заявителем, аккредитованным лицом документов и сведений, выездной экспертизы соответствия заявителя, аккредитованного лица критериям аккредитации, а также максимальных размеров платы за проведение указанных экспертиз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пятнадцати тысяч до двадцати пяти тысяч рублей; на юридических лиц - от ста тысяч до ста пятидесяти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14.59</dc:title>
  <dc:creator>АРБИТРАЖ! · arbi.ru</dc:creator>
  <cp:lastModifiedBy>АРБИТРАЖ!</cp:lastModifiedBy>
  <dcterms:created xsi:type="dcterms:W3CDTF">2026-10-22T20:12:39.204Z</dcterms:created>
</cp:coreProperties>
</file>