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160-ФЗ)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14.60.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требований об аккредитации в национальной системе аккредитации</w:t>
      </w:r>
    </w:p>
    <w:p>
      <w:pPr>
        <w:spacing w:after="120"/>
        <w:ind w:firstLine="709"/>
      </w:pPr>
      <w:r>
        <w:rPr>
          <w:sz w:val="24"/>
        </w:rPr>
        <w:t xml:space="preserve">Выдача юридическим лицом, индивидуальным предпринимателем сертификатов соответствия, протоколов исследований (испытаний), измерений, иных заключений и документов со ссылкой на аккредитацию в национальной системе аккредитации в случае приостановления аккредитации или ее отсутствия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14.60</dc:title>
  <dc:creator>АРБИТРАЖ! · arbi.ru</dc:creator>
  <cp:lastModifiedBy>АРБИТРАЖ!</cp:lastModifiedBy>
  <dcterms:created xsi:type="dcterms:W3CDTF">2026-10-22T22:44:19.265Z</dcterms:created>
</cp:coreProperties>
</file>