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03.11.2015 N 307-ФЗ)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14.61.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порядка предоставления обеспечения исполнения обязательств по оплате электроэнергии (мощности), газа, тепловой энергии (мощности) и (или) теплоносителя, сопряженное с неисполнением (ненадлежащим исполнением) обязательств по их оплате</w:t>
      </w:r>
    </w:p>
    <w:p>
      <w:pPr>
        <w:spacing w:after="120"/>
        <w:ind w:firstLine="709"/>
      </w:pPr>
      <w:r>
        <w:rPr>
          <w:sz w:val="24"/>
        </w:rPr>
        <w:t xml:space="preserve">Нарушение потребителем электрической энергии, ограничение режима потребления электрической энергии которого может привести к экономическим, экологическим или социальным последствиям, потребителем газа,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(мощности), газа, тепловой энергии (мощности) и (или) теплоносителя, сопряженное с неисполнением (ненадлежащим исполнением) обязательств по их оплате в соответствии с установленными договорами о предоставлении указанных энергетических ресурсов сроками платежей,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лет; на юридических лиц -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14.61</dc:title>
  <dc:creator>АРБИТРАЖ! · arbi.ru</dc:creator>
  <cp:lastModifiedBy>АРБИТРАЖ!</cp:lastModifiedBy>
  <dcterms:created xsi:type="dcterms:W3CDTF">2026-10-22T22:44:56.867Z</dcterms:created>
</cp:coreProperties>
</file>