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14.64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03.07.2016 N 372-ФЗ)</w:t>
      </w:r>
    </w:p>
    <w:p>
      <w:pPr>
        <w:spacing w:after="120"/>
        <w:ind w:firstLine="709"/>
      </w:pPr>
      <w:r>
        <w:rPr>
          <w:sz w:val="24"/>
        </w:rPr>
        <w:t xml:space="preserve">Неисполнение саморегулируемой организацией в области инженерных изысканий, архитектурно-строительного проектирования или строительства, реконструкции, капитального ремонта объектов капитального строительства требований о хранении документов, которые предусмотрены законодательством о градостроительной деятельности и хранение которых является обязательным,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двух тысяч до пяти тысяч рублей; на юридических лиц - от двадцати тысяч до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14.64</dc:title>
  <dc:creator>АРБИТРАЖ! · arbi.ru</dc:creator>
  <cp:lastModifiedBy>АРБИТРАЖ!</cp:lastModifiedBy>
  <dcterms:created xsi:type="dcterms:W3CDTF">2026-10-22T19:04:51.918Z</dcterms:created>
</cp:coreProperties>
</file>