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14.70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295-ФЗ)</w:t>
      </w:r>
    </w:p>
    <w:p>
      <w:pPr>
        <w:spacing w:after="120"/>
        <w:ind w:firstLine="709"/>
      </w:pPr>
      <w:r>
        <w:rPr>
          <w:sz w:val="24"/>
        </w:rPr>
        <w:t xml:space="preserve">1. Нарушение хозяйствующим субъектом, осуществляющим торговую деятельность, требований к размещению в публичном доступе предложений о продаже товаров, установленных статьей 11.1 Федерального закона от 28 декабря 2009 года N 381-ФЗ "Об основах государственного регулирования торговой деятельности в Российской Федерации",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тридцати тысяч рублей; на юридических лиц - от тридцати тысяч до семидесяти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семидесяти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14.70</dc:title>
  <dc:creator>АРБИТРАЖ! · arbi.ru</dc:creator>
  <cp:lastModifiedBy>АРБИТРАЖ!</cp:lastModifiedBy>
  <dcterms:created xsi:type="dcterms:W3CDTF">2026-10-22T21:36:03.281Z</dcterms:created>
</cp:coreProperties>
</file>