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02.05.2026 N 120-ФЗ)</w:t>
      </w:r>
    </w:p>
    <w:p>
      <w:pPr>
        <w:spacing w:after="120"/>
        <w:ind w:firstLine="709"/>
      </w:pPr>
      <w:r>
        <w:rPr>
          <w:sz w:val="24"/>
        </w:rPr>
        <w:t xml:space="preserve">Продажа табачной продукции, и (или) никотинсодержащей продукции, и (или) устройств для потребления никотинсодержащей продукции лицом,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(или) устройств и передачу сведений об этом с применением контрольно-кассовой техники в информационную систему мониторинга только при условии регистрации в информационной системе мониторинга, совершенная без данной регистрации, если в течение одного календарного месяца совершена продажа более 10 единиц таких продукции и (или) устройств посредством использования одной единицы контрольно-кассовой техники,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15.12.2</dc:title>
  <dc:creator>АРБИТРАЖ! · arbi.ru</dc:creator>
  <cp:lastModifiedBy>АРБИТРАЖ!</cp:lastModifiedBy>
  <dcterms:created xsi:type="dcterms:W3CDTF">2026-10-23T00:32:33.370Z</dcterms:created>
</cp:coreProperties>
</file>