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02.05.2026 N 120-ФЗ)</w:t>
      </w:r>
    </w:p>
    <w:p>
      <w:pPr>
        <w:spacing w:after="120"/>
        <w:ind w:firstLine="709"/>
      </w:pPr>
      <w:r>
        <w:rPr>
          <w:sz w:val="24"/>
        </w:rPr>
        <w:t xml:space="preserve">Продажа табачной продукции, и (или) никотинсодержащей продукции, и (или) устройств для потребления никотинсодержащей продукции лицом,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(или) устройств и передачу сведений об этом с применением контрольно-кассовой техники в информационную систему мониторинга только при условии регистрации в информационной системе мониторинга, совершенная без данной регистрации, если в течение одного календарного месяца совершена продажа более 10 единиц таких продукции и (или) устройств посредством использования одной единицы контрольно-кассовой техники,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15.12.2</dc:title>
  <dc:creator>АРБИТРАЖ! · arbi.ru</dc:creator>
  <cp:lastModifiedBy>АРБИТРАЖ!</cp:lastModifiedBy>
  <dcterms:created xsi:type="dcterms:W3CDTF">2026-10-22T20:37:06.029Z</dcterms:created>
</cp:coreProperties>
</file>