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15.15.3.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и (или) условий предоставления межбюджетных трансфертов</w:t>
      </w:r>
    </w:p>
    <w:p>
      <w:pPr>
        <w:spacing w:after="120"/>
        <w:ind w:firstLine="709"/>
      </w:pPr>
      <w:r>
        <w:rPr>
          <w:sz w:val="24"/>
        </w:rPr>
        <w:t xml:space="preserve">1. Нарушение главным распорядителем бюджетных средств, предоставляющим межбюджетные трансферты , порядка и (или) условий предоставления межбюджетных трансфертов, за исключением случаев, предусмотренных частью 2 настоящей статьи и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2. Нарушение главным распорядителем бюджетных средств, предоставляющим межбюджетные субсидии на софинансирование капитальных вложений в объекты государственной (муниципальной) собственности, порядка и (или) условий предоставления межбюджетных субсидий,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3. Нарушение финансовым органом, главным распорядителем (распорядителем) или получателем средств бюджета, которому предоставлены межбюджетные трансферты, порядка и (или) условий предоставления (расходования) межбюджетных трансфертов,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15.15.3</dc:title>
  <dc:creator>АРБИТРАЖ! · arbi.ru</dc:creator>
  <cp:lastModifiedBy>АРБИТРАЖ!</cp:lastModifiedBy>
  <dcterms:created xsi:type="dcterms:W3CDTF">2026-10-23T00:31:53.542Z</dcterms:created>
</cp:coreProperties>
</file>