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15.15.4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23.07.2013 N 252-ФЗ)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15.15.4 КоАП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Организация оспаривает привлечение к ответственности за нарушение условий, на которых ей предоставлены бюджетные инвестиции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Должностное лицо (организация, гражданин) обжалует привлечение к ответственности за нарушение условий предоставления бюджетных инвестиций или субсидий</w:t>
      </w:r>
    </w:p>
    <w:p>
      <w:pPr>
        <w:spacing w:after="120"/>
        <w:ind w:firstLine="709"/>
      </w:pPr>
      <w:r>
        <w:rPr>
          <w:sz w:val="24"/>
        </w:rPr>
        <w:t xml:space="preserve">1. Нарушение главным распорядителем бюджетных средств, получателем бюджетных средств, осуществляющими бюджетные инвестиции в объекты государственной (муниципальной) собственности или предоставляющими бюджетные инвестиции юридическим лицам, не являющимся государственными (муниципальными) учреждениями и государственными (муниципальными) унитарными предприятиями, бюджетным или автономным учреждением либо государственным (муниципальным) унитарным предприятием (в части переданных им в порядке, установленном бюджетным законодательством Российской Федерации, полномочий государственного (муниципального) заказчика при осуществлении бюджетных инвестиций в объекты государственной (муниципальной) собственности) порядка осуществления бюджетных инвестиций или порядка предоставления бюджетных инвестиций либо неисполнение ими решения о подготовке и реализации бюджетных инвестиций или решения о предоставлении бюджетных инвестиций, за исключением случаев, предусмотренных статьей 15.14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07.06.2017 N 118-ФЗ)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Нарушение юридическим лицом, которому предоставлены бюджетные инвестиции, условий договоров (соглашений) о предоставлении бюджетных инвестиций, за исключением случаев, предусмотренных статьей 15.14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26.06.2026 N 198-ФЗ)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тридцати тысяч рублей; на юридических лиц - от 2 до 12 процентов суммы полученной бюджетной инвестиции.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15.15.4</dc:title>
  <dc:creator>АРБИТРАЖ! · arbi.ru</dc:creator>
  <cp:lastModifiedBy>АРБИТРАЖ!</cp:lastModifiedBy>
  <dcterms:created xsi:type="dcterms:W3CDTF">2026-10-22T11:37:28.100Z</dcterms:created>
</cp:coreProperties>
</file>