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15.15.7.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формирования и представления документов, используемых при составлении и рассмотрении проектов бюджетов, исполнении бюджетов бюджетной системы РФ</w:t>
      </w:r>
    </w:p>
    <w:p>
      <w:pPr>
        <w:spacing w:after="120"/>
        <w:ind w:firstLine="709"/>
      </w:pPr>
      <w:r>
        <w:rPr>
          <w:sz w:val="24"/>
        </w:rPr>
        <w:t xml:space="preserve">1. Нарушение главным распорядителем бюджетных средств порядка формирования и (или) представления обоснований бюджетных ассигнований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казенным учреждением порядка составления, утверждения и ведения бюджетных смет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более чем на десять рабочих дней получателем бюджетных средств установленных сроков постановки на учет бюджетных и (или) денежных обязательств либо сроков внесения изменений в ранее поставленное на учет бюджетное и (или) денежное обязательство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15.15.7</dc:title>
  <dc:creator>АРБИТРАЖ! · arbi.ru</dc:creator>
  <cp:lastModifiedBy>АРБИТРАЖ!</cp:lastModifiedBy>
  <dcterms:created xsi:type="dcterms:W3CDTF">2026-10-22T22:44:54.857Z</dcterms:created>
</cp:coreProperties>
</file>