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15.15.9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23.07.2013 N 252-ФЗ)</w:t>
      </w:r>
    </w:p>
    <w:p>
      <w:pPr>
        <w:spacing w:after="120"/>
        <w:ind w:firstLine="709"/>
      </w:pPr>
      <w:r>
        <w:rPr>
          <w:sz w:val="24"/>
        </w:rPr>
        <w:t xml:space="preserve">Несоответствие бюджетной росписи сводной бюджетной росписи, за исключением случаев, когда такое несоответствие допускается Бюджетным кодексом Российской Федерации, за исключением случаев, предусмотренных статьей 15.14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пятидесяти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15.15.9</dc:title>
  <dc:creator>АРБИТРАЖ! · arbi.ru</dc:creator>
  <cp:lastModifiedBy>АРБИТРАЖ!</cp:lastModifiedBy>
  <dcterms:created xsi:type="dcterms:W3CDTF">2026-10-22T11:07:20.696Z</dcterms:created>
</cp:coreProperties>
</file>