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15.15.10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252-ФЗ)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15.15.10.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порядка принятия бюджетных обязательств</w:t>
      </w:r>
    </w:p>
    <w:p>
      <w:pPr>
        <w:spacing w:after="120"/>
        <w:ind w:firstLine="709"/>
      </w:pPr>
      <w:r>
        <w:rPr>
          <w:sz w:val="24"/>
        </w:rPr>
        <w:t xml:space="preserve">Принятие бюджетных обязательств в размерах, превышающих утвержденные бюджетные ассигнования и (или) лимиты бюджетных обязательств, за исключением случаев, предусмотренных бюджетным законодательством Российской Федерации и иными нормативными правовыми актами, регулирующими бюджетные правоотношения,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15.15.10</dc:title>
  <dc:creator>АРБИТРАЖ! · arbi.ru</dc:creator>
  <cp:lastModifiedBy>АРБИТРАЖ!</cp:lastModifiedBy>
  <dcterms:created xsi:type="dcterms:W3CDTF">2026-10-22T20:14:00.682Z</dcterms:created>
</cp:coreProperties>
</file>