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срока направления информации о результатах рассмотрения дела в суде</w:t>
      </w:r>
    </w:p>
    <w:p>
      <w:pPr>
        <w:spacing w:after="120"/>
        <w:ind w:firstLine="709"/>
      </w:pPr>
      <w:r>
        <w:rPr>
          <w:sz w:val="24"/>
        </w:rPr>
        <w:t xml:space="preserve">Несоблюдение главным распорядителем бюджетных средств, представлявшим в суде интересы Российской Федерации, субъекта Российской Федерации или муниципального образования, срока направления в соответствующий финансовый орган информации о результатах рассмотрения дела, о наличии оснований и результатах обжалования судебного акта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15.15.14</dc:title>
  <dc:creator>АРБИТРАЖ! · arbi.ru</dc:creator>
  <cp:lastModifiedBy>АРБИТРАЖ!</cp:lastModifiedBy>
  <dcterms:created xsi:type="dcterms:W3CDTF">2026-10-22T22:46:52.172Z</dcterms:created>
</cp:coreProperties>
</file>