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15.15.15.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формирования и (или) финансового обеспечения государственного (муниципального) задания</w:t>
      </w:r>
    </w:p>
    <w:p>
      <w:pPr>
        <w:spacing w:after="120"/>
        <w:ind w:firstLine="709"/>
      </w:pPr>
      <w:r>
        <w:rPr>
          <w:sz w:val="24"/>
        </w:rPr>
        <w:t xml:space="preserve">Нарушение порядка формирования и (или) финансового обеспечения выполнения государственного (муниципального) задания,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15.15.15</dc:title>
  <dc:creator>АРБИТРАЖ! · arbi.ru</dc:creator>
  <cp:lastModifiedBy>АРБИТРАЖ!</cp:lastModifiedBy>
  <dcterms:created xsi:type="dcterms:W3CDTF">2026-10-22T19:03:31.076Z</dcterms:created>
</cp:coreProperties>
</file>