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252-ФЗ)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15.15.15.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обжалует привлечение к ответственности за нарушение порядка формирования и (или) финансового обеспечения государственного (муниципального) задания</w:t>
      </w:r>
    </w:p>
    <w:p>
      <w:pPr>
        <w:spacing w:after="120"/>
        <w:ind w:firstLine="709"/>
      </w:pPr>
      <w:r>
        <w:rPr>
          <w:sz w:val="24"/>
        </w:rPr>
        <w:t xml:space="preserve">Нарушение порядка формирования и (или) финансового обеспечения выполнения государственного (муниципального) задания, за исключением случаев, предусмотренных статьей 15.14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15.15.15</dc:title>
  <dc:creator>АРБИТРАЖ! · arbi.ru</dc:creator>
  <cp:lastModifiedBy>АРБИТРАЖ!</cp:lastModifiedBy>
  <dcterms:created xsi:type="dcterms:W3CDTF">2026-10-22T21:56:06.703Z</dcterms:created>
</cp:coreProperties>
</file>