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09.02.2009 N 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15.17 КоАП РФ</w:t>
      </w:r>
    </w:p>
    <w:p>
      <w:pPr>
        <w:spacing w:after="120"/>
        <w:ind w:firstLine="709"/>
      </w:pPr>
      <w:r>
        <w:rPr>
          <w:sz w:val="24"/>
        </w:rPr>
        <w:t xml:space="preserve">- Эмитент оспаривает привлечение к ответственности за недобросовестную эмиссию ценных бумаг</w:t>
      </w:r>
    </w:p>
    <w:p>
      <w:pPr>
        <w:spacing w:after="120"/>
        <w:ind w:firstLine="709"/>
      </w:pPr>
      <w:r>
        <w:rPr>
          <w:sz w:val="24"/>
        </w:rPr>
        <w:t xml:space="preserve">Нарушение эмитентом установленного федеральными законами и принятыми в соответствии с ними иными нормативными правовыми актами порядка (процедуры) эмиссии ценных бумаг,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эмитента в размере от десяти тысяч до тридцати тысяч рублей; на юридических лиц - от пятисот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15.17</dc:title>
  <dc:creator>АРБИТРАЖ! · arbi.ru</dc:creator>
  <cp:lastModifiedBy>АРБИТРАЖ!</cp:lastModifiedBy>
  <dcterms:created xsi:type="dcterms:W3CDTF">2026-10-22T22:45:34.758Z</dcterms:created>
</cp:coreProperties>
</file>