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Неправомерное использование инсайдерской информации 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одного года до двух лет; на юридических лиц - в размере суммы излишнего дохода либо суммы убытков, которых гражданин, должностное лицо или юридическое лицо избежали в результате неправомерного использования инсайдерской информации, но не менее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Излишний доход или сумма убытков, которых лицо избежало в результате неправомерного использования инсайдерской информации и (или) манипулирования рынком, в настоящей статье и статье 15.30 настоящего Кодекса определяется как разница между доходом, который был получен в результате незаконных действий, и доходом, который сформировался бы без учета незаконных действий,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Соглашение, указанное в примечании 2, также может заключаться с лицом, в отношении которого до 01.01.2022 возбуждено дело о правонарушении, предусмотренном ст. 15.21 либо 15.30, если по делу не вынесено постановление (ФЗ от 11.06.2021 N 162-ФЗ ).</w:t>
      </w:r>
    </w:p>
    <w:p>
      <w:pPr>
        <w:spacing w:after="120"/>
        <w:ind w:firstLine="709"/>
      </w:pPr>
      <w:r>
        <w:rPr>
          <w:sz w:val="24"/>
        </w:rPr>
        <w:t xml:space="preserve">2. Лицо, в отношении которого ведется производство по делу об административном правонарушении, предусмотренном настоящей статьей либо статьей 15.30 настоящего Кодекса, освобождается от административной ответственности в случае исполнения им соглашения, предусмотренного Федеральным законом от 27 июля 2010 года N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Федерации", заключенного с Банком России.</w:t>
      </w:r>
    </w:p>
    <w:p>
      <w:pPr>
        <w:spacing w:after="120"/>
        <w:ind w:firstLine="709"/>
      </w:pPr>
      <w:r>
        <w:rPr>
          <w:sz w:val="24"/>
        </w:rPr>
        <w:t xml:space="preserve">3. Соглашение, указанное в примечании 2 к настоящей статье, может быть заключено с Банком России до дня вынесения постановления по делу об административном правонарушении, предусмотренном настоящей статьей либо статьей 15.30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Соглашение, указанное в примечании 2 к настоящей статье, подписывается председательствовавшим на заседании Комитета финансового надзора Банка России, на котором было принято решение о заключении такого соглашения. От имени юридического лица, в отношении которого ведется производство по делу об административном правонарушении, соглашение, указанное в примечании 2 к настоящей статье, подписывается законным представителем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5. Соглашение, указанное в примечании 2 к настоящей статье, вступает в силу со дня принятия Комитетом финансового надзора Банка России решения о его заключении.</w:t>
      </w:r>
    </w:p>
    <w:p>
      <w:pPr>
        <w:spacing w:after="120"/>
        <w:ind w:firstLine="709"/>
      </w:pPr>
      <w:r>
        <w:rPr>
          <w:sz w:val="24"/>
        </w:rPr>
        <w:t xml:space="preserve">6. Заключение соглашения, указанного в примечании 2 к настоящей статье, с лицом, не исполнившим ранее заключенного с ним соглашения, не допускается.</w:t>
      </w:r>
    </w:p>
    <w:p>
      <w:pPr>
        <w:spacing w:after="120"/>
        <w:ind w:firstLine="709"/>
      </w:pPr>
      <w:r>
        <w:rPr>
          <w:sz w:val="24"/>
        </w:rPr>
        <w:t xml:space="preserve">7. При назначении административного наказания за совершение административного правонарушения, предусмотренного настоящей статьей либо статьей 15.30 настоящего Кодекса, учитываются следующие обстоятельства, отягчающие административную ответственность:</w:t>
      </w:r>
    </w:p>
    <w:p>
      <w:pPr>
        <w:spacing w:after="120"/>
        <w:ind w:firstLine="709"/>
      </w:pPr>
      <w:r>
        <w:rPr>
          <w:sz w:val="24"/>
        </w:rPr>
        <w:t xml:space="preserve">1) неисполнение лицом, в отношении которого ведется производство по делу об административном правонарушении, соглашения, указанного в примечании 2 к настоящей статье;</w:t>
      </w:r>
    </w:p>
    <w:p>
      <w:pPr>
        <w:spacing w:after="120"/>
        <w:ind w:firstLine="709"/>
      </w:pPr>
      <w:r>
        <w:rPr>
          <w:sz w:val="24"/>
        </w:rPr>
        <w:t xml:space="preserve">2) совершение административного правонарушения лицом, с которым ранее было заключено такое соглашение, и со дня исполнения такого соглашения прошло менее одного года.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11.06.2021 N 162-ФЗ)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15.21</dc:title>
  <dc:creator>АРБИТРАЖ! · arbi.ru</dc:creator>
  <cp:lastModifiedBy>АРБИТРАЖ!</cp:lastModifiedBy>
  <dcterms:created xsi:type="dcterms:W3CDTF">2026-10-22T23:03:53.556Z</dcterms:created>
</cp:coreProperties>
</file>