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Осуществление кредитной организацией производственной, торговой или страховой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кредитной организацией установленных Банком России нормативов и иных обязательных требований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частью 2 настоящей статьи, если они создают реальную угрозу интересам кредиторов (вкладчиков),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15.26</dc:title>
  <dc:creator>АРБИТРАЖ! · arbi.ru</dc:creator>
  <cp:lastModifiedBy>АРБИТРАЖ!</cp:lastModifiedBy>
  <dcterms:created xsi:type="dcterms:W3CDTF">2026-10-22T11:07:45.289Z</dcterms:created>
</cp:coreProperties>
</file>