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15.26.2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21.12.2013 N 375-ФЗ)</w:t>
      </w:r>
    </w:p>
    <w:p>
      <w:pPr>
        <w:spacing w:after="120"/>
        <w:ind w:firstLine="709"/>
      </w:pPr>
      <w:r>
        <w:rPr>
          <w:sz w:val="24"/>
        </w:rPr>
        <w:t xml:space="preserve">1. Нарушение ломбардом законодательства Российской Федерации о ломбардах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11.06.2021 N 205-ФЗ.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15.26.2</dc:title>
  <dc:creator>АРБИТРАЖ! · arbi.ru</dc:creator>
  <cp:lastModifiedBy>АРБИТРАЖ!</cp:lastModifiedBy>
  <dcterms:created xsi:type="dcterms:W3CDTF">2026-10-22T22:44:59.877Z</dcterms:created>
</cp:coreProperties>
</file>