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15.26.4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15.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28.06.2014 N 189-ФЗ)</w:t>
      </w:r>
    </w:p>
    <w:p>
      <w:pPr>
        <w:spacing w:after="120"/>
        <w:ind w:firstLine="709"/>
      </w:pPr>
      <w:r>
        <w:rPr>
          <w:sz w:val="24"/>
        </w:rPr>
        <w:t xml:space="preserve">Неисполнение или несвоевременное исполнение обязанности источниками формирования кредитных историй - организациями, имеющими вступившее в силу и не исполненное в течение 10 дней решение суда о взыскании с должника денежных сумм в связи с неисполнением им обязанности по внесению платы за жилое помещение, коммунальные услуги и услуги связи, по передаче в бюро кредитных историй информации об исполнении решения суда (полном или частичном), информация о котором ранее направлялась в бюро кредитных историй,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двух тысяч до пяти тысяч рублей; на юридических лиц - от тридцати тысяч до пятидесяти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15.26.4</dc:title>
  <dc:creator>АРБИТРАЖ! · arbi.ru</dc:creator>
  <cp:lastModifiedBy>АРБИТРАЖ!</cp:lastModifiedBy>
  <dcterms:created xsi:type="dcterms:W3CDTF">2026-10-22T18:18:17.936Z</dcterms:created>
</cp:coreProperties>
</file>