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15.26.5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189-ФЗ)</w:t>
      </w:r>
    </w:p>
    <w:p>
      <w:pPr>
        <w:spacing w:after="120"/>
        <w:ind w:firstLine="709"/>
      </w:pPr>
      <w:r>
        <w:rPr>
          <w:sz w:val="24"/>
        </w:rPr>
        <w:t xml:space="preserve">Неисполнение или несвоевременное исполнение обязанности источниками формирования кредитных историй - организациями, являющимися заимодавцами по договорам займа (за исключением кредитных организаций, микрофинансовых организаций и кредитных кооперативов), представлять в бюро кредитных историй информацию о погашении займов, информация о которых была ранее передана в бюро кредитных историй,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пяти тысяч рублей; на юридических лиц - от тридцати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15.26.5</dc:title>
  <dc:creator>АРБИТРАЖ! · arbi.ru</dc:creator>
  <cp:lastModifiedBy>АРБИТРАЖ!</cp:lastModifiedBy>
  <dcterms:created xsi:type="dcterms:W3CDTF">2026-10-22T22:20:16.023Z</dcterms:created>
</cp:coreProperties>
</file>