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15.32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24.07.2009 N 213-ФЗ)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15.32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(гражданин, ИП) обжалует привлечение к ответственности за нарушение срока регистрации либо порядка и сроков представления документов и (или) иных сведений в территориальные органы СФР (ФСС РФ)</w:t>
      </w:r>
    </w:p>
    <w:p>
      <w:pPr>
        <w:spacing w:after="120"/>
        <w:ind w:firstLine="709"/>
      </w:pPr>
      <w:r>
        <w:rPr>
          <w:sz w:val="24"/>
        </w:rPr>
        <w:t xml:space="preserve">Нарушение страхователями установленного законодательством Российской Федерации об обязательном социальном страховании срока регистрации в органах государственных внебюджетных фондов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29.11.2010 N 313-ФЗ)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пятисот до одной тысячи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15.32</dc:title>
  <dc:creator>АРБИТРАЖ! · arbi.ru</dc:creator>
  <cp:lastModifiedBy>АРБИТРАЖ!</cp:lastModifiedBy>
  <dcterms:created xsi:type="dcterms:W3CDTF">2026-10-22T10:02:11.552Z</dcterms:created>
</cp:coreProperties>
</file>