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506-ФЗ)</w:t>
      </w:r>
    </w:p>
    <w:p>
      <w:pPr>
        <w:spacing w:after="120"/>
        <w:ind w:firstLine="709"/>
      </w:pPr>
      <w:r>
        <w:rPr>
          <w:sz w:val="24"/>
        </w:rPr>
        <w:t xml:space="preserve">Несоблюдение требования о ведении раздельного учета результатов финансово-хозяйственной деятельности при исполнении государственного (муниципального) контракта, договора (соглашения), контракта (договора), средства для исполнения обязательств по которым подлежат казначейскому сопровождению,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индивидуальных предпринимателей - от 5 до 10 процентов цены государственного (муниципального) контракта, договора (соглашения), контракта (договора), но не более двухсот пятидесяти тысяч рублей; на юридических лиц - от 5 до 10 процентов цены государственного (муниципального) контракта, договора (соглашения), контракта (договора), но не более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15.37.1</dc:title>
  <dc:creator>АРБИТРАЖ! · arbi.ru</dc:creator>
  <cp:lastModifiedBy>АРБИТРАЖ!</cp:lastModifiedBy>
  <dcterms:created xsi:type="dcterms:W3CDTF">2026-10-22T12:09:34.105Z</dcterms:created>
</cp:coreProperties>
</file>