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14.11.2017 N 318-ФЗ)</w:t>
      </w:r>
    </w:p>
    <w:p>
      <w:pPr>
        <w:spacing w:after="120"/>
        <w:ind w:firstLine="709"/>
      </w:pPr>
      <w:r>
        <w:rPr>
          <w:sz w:val="24"/>
        </w:rPr>
        <w:t xml:space="preserve">1. Нераскрытие аккредитованной организацией по управлению правами на коллективной основе годовой бухгалтерской (финансовой) отчетности вместе с аудиторским заключением о ней в порядке и (или) сроки, установленные законодательством об авторском праве и смежных правах,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Нераскрытие аккредитованной организацией по управлению правами на коллективной основе годовой бухгалтерской (финансовой) отчетности фонда, созданного такой организацией, и созданных ею дочерних организаций вместе с аудиторским заключением о ней в порядке и (или) сроки, установленные законодательством об авторском праве и смежных правах,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15.42</dc:title>
  <dc:creator>АРБИТРАЖ! · arbi.ru</dc:creator>
  <cp:lastModifiedBy>АРБИТРАЖ!</cp:lastModifiedBy>
  <dcterms:created xsi:type="dcterms:W3CDTF">2026-10-22T20:13:29.784Z</dcterms:created>
</cp:coreProperties>
</file>