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501-ФЗ)</w:t>
      </w:r>
    </w:p>
    <w:p>
      <w:pPr>
        <w:spacing w:after="120"/>
        <w:ind w:firstLine="709"/>
      </w:pPr>
      <w:r>
        <w:rPr>
          <w:sz w:val="24"/>
        </w:rPr>
        <w:t xml:space="preserve">1. Незаконная добыча драгоценных металлов и (или) драгоценных камней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полуторакратного до двукратного размера стоимости драгоценных металлов и (или) драгоценных камней, явившихся предметом административного правонарушения, с конфискацией орудия совершения административного правонарушения либо без таковой; на индивидуальных предпринимателей - от трехкратного до четырехкратного размера стоимости драгоценных металлов и (или) драгоценных камней, явившихся предметом административного правонарушения, с конфискацией орудия совершения административного правонарушения либо без таковой; на юридических лиц - от четырехкратного до пятикратного размера стоимости драгоценных металлов и (или) драгоценных камней, явившихся предметом административного правонарушения, с конфискацией орудия совершения административного правонарушения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2. Сбыт незаконно добытых драгоценных металлов и (или) драгоценных камней в любом виде, состоянии, если такое действие не содержит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однократного до полуторакратного размера стоимости драгоценных металлов и (или) драгоценных камней, явившихся предметом административного правонарушения; на индивидуальных предпринимателей - от двукратного до трехкратного размера стоимости драгоценных металлов и (или) драгоценных камней, явившихся предметом административного правонарушения; на юридических лиц - от трехкратного до четырехкратного размера стоимости драгоценных металлов и (или) драгоценных камней, явившихся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Перемещение (в том числе перевозка или пересылка) либо хранение незаконно добытых драгоценных металлов и (или) драгоценных камней в любом виде, состоянии, если такие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второй до однократного размера стоимости драгоценных металлов и (или) драгоценных камней, явившихся предметом административного правонарушения; на индивидуальных предпринимателей - от полуторакратного до двукратного размера стоимости драгоценных металлов и (или) драгоценных камней, явившихся предметом административного правонарушения; на юридических лиц - от двукратного до трехкратного размера стоимости драгоценных металлов и (или) драгоценных камней, явившихся предметом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15.44</dc:title>
  <dc:creator>АРБИТРАЖ! · arbi.ru</dc:creator>
  <cp:lastModifiedBy>АРБИТРАЖ!</cp:lastModifiedBy>
  <dcterms:created xsi:type="dcterms:W3CDTF">2026-10-22T21:10:19.986Z</dcterms:created>
</cp:coreProperties>
</file>